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532" w:rsidRPr="00DD78B9" w:rsidRDefault="00916532" w:rsidP="00916532">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DC4203">
        <w:rPr>
          <w:rFonts w:cs="Arial"/>
          <w:b/>
          <w:sz w:val="24"/>
          <w:szCs w:val="24"/>
          <w:lang w:val="en-US"/>
        </w:rPr>
        <w:t>12611</w:t>
      </w:r>
      <w:bookmarkStart w:id="3" w:name="_GoBack"/>
      <w:bookmarkEnd w:id="3"/>
    </w:p>
    <w:p w:rsidR="00DB2AC9" w:rsidRPr="00992D9C" w:rsidRDefault="00916532" w:rsidP="00916532">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1B19C6">
        <w:rPr>
          <w:rFonts w:ascii="Arial" w:hAnsi="Arial"/>
          <w:sz w:val="24"/>
          <w:lang w:val="en-US"/>
        </w:rPr>
        <w:t>on P</w:t>
      </w:r>
      <w:r w:rsidR="001B19C6" w:rsidRPr="001B19C6">
        <w:rPr>
          <w:rFonts w:ascii="Arial" w:hAnsi="Arial"/>
          <w:sz w:val="24"/>
          <w:vertAlign w:val="subscript"/>
          <w:lang w:val="en-US"/>
        </w:rPr>
        <w:t>EMAX</w:t>
      </w:r>
      <w:r w:rsidR="001B19C6">
        <w:rPr>
          <w:rFonts w:ascii="Arial" w:hAnsi="Arial"/>
          <w:sz w:val="24"/>
          <w:lang w:val="en-US"/>
        </w:rPr>
        <w:t xml:space="preserve"> issue</w:t>
      </w:r>
      <w:r w:rsidR="00081ABB">
        <w:rPr>
          <w:rFonts w:ascii="Arial" w:hAnsi="Arial"/>
          <w:sz w:val="24"/>
          <w:lang w:val="en-US"/>
        </w:rPr>
        <w:t xml:space="preserve">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916532">
        <w:rPr>
          <w:rFonts w:ascii="Arial" w:hAnsi="Arial"/>
          <w:sz w:val="24"/>
          <w:lang w:val="pt-BR"/>
        </w:rPr>
        <w:t>9.15.6.1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1B19C6">
        <w:rPr>
          <w:lang w:val="en-US" w:eastAsia="zh-CN"/>
        </w:rPr>
        <w:t>PEMAX issue has been discussed for two meetings and a WF [1] has been agreed and further a CR [2] has been agreed</w:t>
      </w:r>
      <w:r w:rsidR="008E4D23">
        <w:rPr>
          <w:lang w:val="en-US" w:eastAsia="zh-CN"/>
        </w:rPr>
        <w:t>.</w:t>
      </w:r>
      <w:r w:rsidR="001B19C6">
        <w:rPr>
          <w:lang w:val="en-US" w:eastAsia="zh-CN"/>
        </w:rPr>
        <w:t xml:space="preserve"> However, even with current CR, it seems that the PEMAX issue for intra-band concurrent operation is still not solved yet with the concern on the “</w:t>
      </w:r>
      <w:r w:rsidR="001B19C6" w:rsidRPr="001B19C6">
        <w:rPr>
          <w:lang w:val="en-US" w:eastAsia="zh-CN"/>
        </w:rPr>
        <w:t>serving cell</w:t>
      </w:r>
      <w:r w:rsidR="001B19C6">
        <w:rPr>
          <w:lang w:val="en-US" w:eastAsia="zh-CN"/>
        </w:rPr>
        <w:t xml:space="preserve">” </w:t>
      </w:r>
      <w:r w:rsidR="001B19C6">
        <w:rPr>
          <w:rFonts w:hint="eastAsia"/>
          <w:lang w:val="en-US" w:eastAsia="zh-CN"/>
        </w:rPr>
        <w:t>description</w:t>
      </w:r>
      <w:r w:rsidR="001B19C6">
        <w:rPr>
          <w:lang w:val="en-US" w:eastAsia="zh-CN"/>
        </w:rPr>
        <w:t>. Hence in this paper we give further analysis on the PEMAX issue together with the power class signaling design for intra-band concurrent operation.</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1B19C6" w:rsidRDefault="001B19C6" w:rsidP="00167A00">
      <w:pPr>
        <w:rPr>
          <w:lang w:val="en-US" w:eastAsia="zh-CN"/>
        </w:rPr>
      </w:pPr>
      <w:r>
        <w:rPr>
          <w:rFonts w:hint="eastAsia"/>
          <w:lang w:val="en-US" w:eastAsia="zh-CN"/>
        </w:rPr>
        <w:t>T</w:t>
      </w:r>
      <w:r>
        <w:rPr>
          <w:lang w:val="en-US" w:eastAsia="zh-CN"/>
        </w:rPr>
        <w:t>he WF agreement on PEMAX issue has been captured as below:</w:t>
      </w:r>
    </w:p>
    <w:p w:rsidR="001B19C6" w:rsidRDefault="001B19C6" w:rsidP="001B19C6">
      <w:pPr>
        <w:jc w:val="center"/>
        <w:rPr>
          <w:lang w:val="en-US" w:eastAsia="zh-CN"/>
        </w:rPr>
      </w:pPr>
      <w:r>
        <w:rPr>
          <w:noProof/>
          <w:lang w:val="en-US" w:eastAsia="zh-CN"/>
        </w:rPr>
        <w:drawing>
          <wp:inline distT="0" distB="0" distL="0" distR="0" wp14:anchorId="2973D3BB" wp14:editId="4997BDFC">
            <wp:extent cx="4718171" cy="2486427"/>
            <wp:effectExtent l="19050" t="19050" r="25400" b="285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24603" cy="2489817"/>
                    </a:xfrm>
                    <a:prstGeom prst="rect">
                      <a:avLst/>
                    </a:prstGeom>
                    <a:ln>
                      <a:solidFill>
                        <a:schemeClr val="accent1"/>
                      </a:solidFill>
                    </a:ln>
                  </pic:spPr>
                </pic:pic>
              </a:graphicData>
            </a:graphic>
          </wp:inline>
        </w:drawing>
      </w:r>
    </w:p>
    <w:p w:rsidR="001B19C6" w:rsidRDefault="008903ED" w:rsidP="00167A00">
      <w:pPr>
        <w:rPr>
          <w:lang w:eastAsia="zh-CN"/>
        </w:rPr>
      </w:pPr>
      <w:r>
        <w:rPr>
          <w:rFonts w:hint="eastAsia"/>
          <w:lang w:eastAsia="zh-CN"/>
        </w:rPr>
        <w:t>I</w:t>
      </w:r>
      <w:r>
        <w:rPr>
          <w:lang w:eastAsia="zh-CN"/>
        </w:rPr>
        <w:t xml:space="preserve">t has been agreed that using </w:t>
      </w:r>
      <w:r w:rsidRPr="008903ED">
        <w:rPr>
          <w:i/>
          <w:lang w:eastAsia="zh-CN"/>
        </w:rPr>
        <w:t>sl-maxTxPower</w:t>
      </w:r>
      <w:r>
        <w:rPr>
          <w:lang w:eastAsia="zh-CN"/>
        </w:rPr>
        <w:t xml:space="preserve"> instead of </w:t>
      </w:r>
      <w:r w:rsidRPr="008903ED">
        <w:rPr>
          <w:i/>
          <w:lang w:eastAsia="zh-CN"/>
        </w:rPr>
        <w:t>maxTxPower</w:t>
      </w:r>
      <w:r>
        <w:rPr>
          <w:i/>
          <w:lang w:eastAsia="zh-CN"/>
        </w:rPr>
        <w:t xml:space="preserve"> </w:t>
      </w:r>
      <w:r>
        <w:rPr>
          <w:lang w:eastAsia="zh-CN"/>
        </w:rPr>
        <w:t xml:space="preserve">to clearly state that the </w:t>
      </w:r>
      <w:r>
        <w:rPr>
          <w:rFonts w:hint="eastAsia"/>
          <w:lang w:eastAsia="zh-CN"/>
        </w:rPr>
        <w:t>P</w:t>
      </w:r>
      <w:r w:rsidR="005129A9" w:rsidRPr="005129A9">
        <w:rPr>
          <w:vertAlign w:val="subscript"/>
          <w:lang w:eastAsia="zh-CN"/>
        </w:rPr>
        <w:t>EMAX</w:t>
      </w:r>
      <w:r>
        <w:rPr>
          <w:lang w:eastAsia="zh-CN"/>
        </w:rPr>
        <w:t xml:space="preserve"> </w:t>
      </w:r>
      <w:r>
        <w:rPr>
          <w:rFonts w:hint="eastAsia"/>
          <w:lang w:eastAsia="zh-CN"/>
        </w:rPr>
        <w:t>is</w:t>
      </w:r>
      <w:r>
        <w:rPr>
          <w:lang w:eastAsia="zh-CN"/>
        </w:rPr>
        <w:t xml:space="preserve"> </w:t>
      </w:r>
      <w:r>
        <w:rPr>
          <w:rFonts w:hint="eastAsia"/>
          <w:lang w:eastAsia="zh-CN"/>
        </w:rPr>
        <w:t>to</w:t>
      </w:r>
      <w:r>
        <w:rPr>
          <w:lang w:eastAsia="zh-CN"/>
        </w:rPr>
        <w:t xml:space="preserve"> define the limit of UE sidelink power. This method is acceptable when “the UE is not associated with a serving cell on the NR V2X carrier”. Howev</w:t>
      </w:r>
      <w:r w:rsidR="0089480E">
        <w:rPr>
          <w:lang w:eastAsia="zh-CN"/>
        </w:rPr>
        <w:t>er, as mentioned by many companies</w:t>
      </w:r>
      <w:r>
        <w:rPr>
          <w:lang w:eastAsia="zh-CN"/>
        </w:rPr>
        <w:t xml:space="preserve"> that the intra-band con-current operation is a new feature introduced by Rel-16 and under accomplishment within Rel-17 sidelink enhancement</w:t>
      </w:r>
      <w:r w:rsidR="0089480E">
        <w:rPr>
          <w:lang w:eastAsia="zh-CN"/>
        </w:rPr>
        <w:t xml:space="preserve"> WID</w:t>
      </w:r>
      <w:r>
        <w:rPr>
          <w:lang w:eastAsia="zh-CN"/>
        </w:rPr>
        <w:t>. In this case, it has been proposed that to remove the serving cell wording to include the intra-band concurrent operation scenario.</w:t>
      </w:r>
    </w:p>
    <w:p w:rsidR="008903ED" w:rsidRPr="00D91C96" w:rsidRDefault="008903ED" w:rsidP="00167A00">
      <w:pPr>
        <w:rPr>
          <w:b/>
          <w:lang w:eastAsia="zh-CN"/>
        </w:rPr>
      </w:pPr>
      <w:r w:rsidRPr="00D91C96">
        <w:rPr>
          <w:b/>
          <w:lang w:eastAsia="zh-CN"/>
        </w:rPr>
        <w:t xml:space="preserve">Observation 1: </w:t>
      </w:r>
      <w:r w:rsidR="007C5E0B" w:rsidRPr="00D91C96">
        <w:rPr>
          <w:b/>
          <w:lang w:eastAsia="zh-CN"/>
        </w:rPr>
        <w:t xml:space="preserve">Using </w:t>
      </w:r>
      <w:r w:rsidR="007C5E0B" w:rsidRPr="00D91C96">
        <w:rPr>
          <w:b/>
          <w:i/>
          <w:lang w:eastAsia="zh-CN"/>
        </w:rPr>
        <w:t>sl-maxTxPower</w:t>
      </w:r>
      <w:r w:rsidR="007C5E0B" w:rsidRPr="00D91C96">
        <w:rPr>
          <w:b/>
          <w:lang w:eastAsia="zh-CN"/>
        </w:rPr>
        <w:t xml:space="preserve"> instead of </w:t>
      </w:r>
      <w:r w:rsidR="007C5E0B" w:rsidRPr="00D91C96">
        <w:rPr>
          <w:b/>
          <w:i/>
          <w:lang w:eastAsia="zh-CN"/>
        </w:rPr>
        <w:t xml:space="preserve">maxTxPower </w:t>
      </w:r>
      <w:r w:rsidR="007C5E0B" w:rsidRPr="00D91C96">
        <w:rPr>
          <w:b/>
          <w:lang w:eastAsia="zh-CN"/>
        </w:rPr>
        <w:t>is acceptable for sideli</w:t>
      </w:r>
      <w:r w:rsidR="00D91C96" w:rsidRPr="00D91C96">
        <w:rPr>
          <w:b/>
          <w:lang w:eastAsia="zh-CN"/>
        </w:rPr>
        <w:t>nk only operation.</w:t>
      </w:r>
    </w:p>
    <w:p w:rsidR="00D91C96" w:rsidRDefault="00D91C96" w:rsidP="00167A00">
      <w:pPr>
        <w:rPr>
          <w:lang w:eastAsia="zh-CN"/>
        </w:rPr>
      </w:pPr>
      <w:r>
        <w:rPr>
          <w:rFonts w:hint="eastAsia"/>
          <w:lang w:eastAsia="zh-CN"/>
        </w:rPr>
        <w:t>F</w:t>
      </w:r>
      <w:r>
        <w:rPr>
          <w:lang w:eastAsia="zh-CN"/>
        </w:rPr>
        <w:t xml:space="preserve">or intra-band concurrent operation, since there will be both </w:t>
      </w:r>
      <w:r w:rsidRPr="00D91C96">
        <w:rPr>
          <w:i/>
          <w:lang w:eastAsia="zh-CN"/>
        </w:rPr>
        <w:t xml:space="preserve">sl-maxTxPower </w:t>
      </w:r>
      <w:r w:rsidRPr="00D91C96">
        <w:rPr>
          <w:lang w:eastAsia="zh-CN"/>
        </w:rPr>
        <w:t>and</w:t>
      </w:r>
      <w:r w:rsidRPr="00D91C96">
        <w:rPr>
          <w:i/>
          <w:lang w:eastAsia="zh-CN"/>
        </w:rPr>
        <w:t xml:space="preserve"> maxTxPower</w:t>
      </w:r>
      <w:r>
        <w:rPr>
          <w:i/>
          <w:lang w:eastAsia="zh-CN"/>
        </w:rPr>
        <w:t xml:space="preserve"> </w:t>
      </w:r>
      <w:r>
        <w:rPr>
          <w:lang w:eastAsia="zh-CN"/>
        </w:rPr>
        <w:t xml:space="preserve">for both the NR SL carrier and the NR carrier within the same band, only use the </w:t>
      </w:r>
      <w:r w:rsidRPr="00D91C96">
        <w:rPr>
          <w:i/>
          <w:lang w:eastAsia="zh-CN"/>
        </w:rPr>
        <w:t xml:space="preserve">sl-maxTxPower </w:t>
      </w:r>
      <w:r w:rsidRPr="00D91C96">
        <w:rPr>
          <w:lang w:eastAsia="zh-CN"/>
        </w:rPr>
        <w:t>or</w:t>
      </w:r>
      <w:r w:rsidRPr="00D91C96">
        <w:rPr>
          <w:i/>
          <w:lang w:eastAsia="zh-CN"/>
        </w:rPr>
        <w:t xml:space="preserve"> maxTxPower</w:t>
      </w:r>
      <w:r>
        <w:rPr>
          <w:i/>
          <w:lang w:eastAsia="zh-CN"/>
        </w:rPr>
        <w:t xml:space="preserve"> </w:t>
      </w:r>
      <w:r>
        <w:rPr>
          <w:lang w:eastAsia="zh-CN"/>
        </w:rPr>
        <w:t>will cause problem as if one is used then the other one cannot report correctly.</w:t>
      </w:r>
    </w:p>
    <w:p w:rsidR="007C6247" w:rsidRDefault="007C6247" w:rsidP="00167A00">
      <w:pPr>
        <w:rPr>
          <w:b/>
          <w:lang w:eastAsia="zh-CN"/>
        </w:rPr>
      </w:pPr>
      <w:r w:rsidRPr="007C6247">
        <w:rPr>
          <w:b/>
          <w:lang w:eastAsia="zh-CN"/>
        </w:rPr>
        <w:t xml:space="preserve">Observation 2: Only using </w:t>
      </w:r>
      <w:r w:rsidRPr="007C6247">
        <w:rPr>
          <w:b/>
          <w:i/>
          <w:lang w:eastAsia="zh-CN"/>
        </w:rPr>
        <w:t xml:space="preserve">sl-maxTxPower </w:t>
      </w:r>
      <w:r w:rsidRPr="007C6247">
        <w:rPr>
          <w:b/>
          <w:lang w:eastAsia="zh-CN"/>
        </w:rPr>
        <w:t>or</w:t>
      </w:r>
      <w:r w:rsidRPr="007C6247">
        <w:rPr>
          <w:b/>
          <w:i/>
          <w:lang w:eastAsia="zh-CN"/>
        </w:rPr>
        <w:t xml:space="preserve"> maxTxPower </w:t>
      </w:r>
      <w:r w:rsidRPr="007C6247">
        <w:rPr>
          <w:b/>
          <w:lang w:eastAsia="zh-CN"/>
        </w:rPr>
        <w:t>will cause problem for intra-band concurrent operation.</w:t>
      </w:r>
    </w:p>
    <w:p w:rsidR="0023738E" w:rsidRDefault="00FE5BFC" w:rsidP="0023738E">
      <w:pPr>
        <w:rPr>
          <w:lang w:eastAsia="zh-CN"/>
        </w:rPr>
      </w:pPr>
      <w:r>
        <w:rPr>
          <w:lang w:eastAsia="zh-CN"/>
        </w:rPr>
        <w:t>Furthermore, refer to current TS 38.101-3 sub-clause 6.2E.4.2, the inter-band concurrent operation, separate P</w:t>
      </w:r>
      <w:r w:rsidRPr="00D33F9A">
        <w:rPr>
          <w:vertAlign w:val="subscript"/>
          <w:lang w:eastAsia="zh-CN"/>
        </w:rPr>
        <w:t>CMAX,Uu</w:t>
      </w:r>
      <w:r>
        <w:rPr>
          <w:lang w:eastAsia="zh-CN"/>
        </w:rPr>
        <w:t xml:space="preserve"> and P</w:t>
      </w:r>
      <w:r w:rsidRPr="00D33F9A">
        <w:rPr>
          <w:vertAlign w:val="subscript"/>
          <w:lang w:eastAsia="zh-CN"/>
        </w:rPr>
        <w:t>CM</w:t>
      </w:r>
      <w:r w:rsidR="0023738E" w:rsidRPr="00D33F9A">
        <w:rPr>
          <w:vertAlign w:val="subscript"/>
          <w:lang w:eastAsia="zh-CN"/>
        </w:rPr>
        <w:t>AX,SL</w:t>
      </w:r>
      <w:r w:rsidR="0023738E">
        <w:rPr>
          <w:lang w:eastAsia="zh-CN"/>
        </w:rPr>
        <w:t xml:space="preserve"> is used as captured below. </w:t>
      </w:r>
      <w:r w:rsidR="0023738E">
        <w:rPr>
          <w:rFonts w:hint="eastAsia"/>
          <w:lang w:eastAsia="zh-CN"/>
        </w:rPr>
        <w:t>S</w:t>
      </w:r>
      <w:r w:rsidR="0023738E">
        <w:rPr>
          <w:lang w:eastAsia="zh-CN"/>
        </w:rPr>
        <w:t xml:space="preserve">imilarly, same configured power scheme can be reused for intra-band concurrent operation. </w:t>
      </w:r>
    </w:p>
    <w:p w:rsidR="00FE5BFC" w:rsidRDefault="00FE5BFC" w:rsidP="00167A00">
      <w:pPr>
        <w:rPr>
          <w:i/>
        </w:rPr>
      </w:pPr>
      <w:r w:rsidRPr="00FE5BFC">
        <w:rPr>
          <w:i/>
        </w:rPr>
        <w:t xml:space="preserve">When a UE is configured for simultaneous NR V2X sidelink and NR uplink transmissions for inter-band con-current operation, the UE is allowed to set its configured maximum output power </w:t>
      </w:r>
      <w:r w:rsidRPr="00FE5BFC">
        <w:rPr>
          <w:i/>
          <w:highlight w:val="yellow"/>
        </w:rPr>
        <w:t>P</w:t>
      </w:r>
      <w:r w:rsidRPr="00FE5BFC">
        <w:rPr>
          <w:i/>
          <w:highlight w:val="yellow"/>
          <w:vertAlign w:val="subscript"/>
        </w:rPr>
        <w:t>CMAX,c,</w:t>
      </w:r>
      <w:r w:rsidRPr="00FE5BFC">
        <w:rPr>
          <w:i/>
          <w:highlight w:val="yellow"/>
          <w:vertAlign w:val="subscript"/>
          <w:lang w:eastAsia="zh-CN"/>
        </w:rPr>
        <w:t>Uu</w:t>
      </w:r>
      <w:r w:rsidRPr="00FE5BFC">
        <w:rPr>
          <w:i/>
          <w:vertAlign w:val="subscript"/>
        </w:rPr>
        <w:t xml:space="preserve"> </w:t>
      </w:r>
      <w:r w:rsidRPr="00FE5BFC">
        <w:rPr>
          <w:i/>
        </w:rPr>
        <w:t xml:space="preserve">and </w:t>
      </w:r>
      <w:r w:rsidRPr="00FE5BFC">
        <w:rPr>
          <w:i/>
          <w:highlight w:val="yellow"/>
        </w:rPr>
        <w:t>P</w:t>
      </w:r>
      <w:r w:rsidRPr="00FE5BFC">
        <w:rPr>
          <w:i/>
          <w:highlight w:val="yellow"/>
          <w:vertAlign w:val="subscript"/>
        </w:rPr>
        <w:t>CMAX,c,V2X</w:t>
      </w:r>
      <w:r w:rsidRPr="00FE5BFC">
        <w:rPr>
          <w:i/>
          <w:vertAlign w:val="subscript"/>
        </w:rPr>
        <w:t xml:space="preserve"> </w:t>
      </w:r>
      <w:r w:rsidRPr="00FE5BFC">
        <w:rPr>
          <w:i/>
        </w:rPr>
        <w:t xml:space="preserve">for the configured E-UTRA or NR uplink carrier and the configured NR V2X SL or E-UTRA V2X SL carrier, respectively, and its total configured maximum output power </w:t>
      </w:r>
      <w:r w:rsidRPr="00FE5BFC">
        <w:rPr>
          <w:i/>
          <w:highlight w:val="yellow"/>
        </w:rPr>
        <w:t>P</w:t>
      </w:r>
      <w:r w:rsidRPr="00FE5BFC">
        <w:rPr>
          <w:i/>
          <w:highlight w:val="yellow"/>
          <w:vertAlign w:val="subscript"/>
        </w:rPr>
        <w:t>CMAX,c</w:t>
      </w:r>
      <w:r w:rsidRPr="00FE5BFC">
        <w:rPr>
          <w:i/>
        </w:rPr>
        <w:t xml:space="preserve">. The </w:t>
      </w:r>
      <w:r w:rsidRPr="00FE5BFC">
        <w:rPr>
          <w:rFonts w:ascii="Symbol" w:hAnsi="Symbol"/>
          <w:i/>
          <w:lang w:bidi="bn-IN"/>
        </w:rPr>
        <w:t></w:t>
      </w:r>
      <w:r w:rsidRPr="00FE5BFC">
        <w:rPr>
          <w:rFonts w:ascii="Symbol" w:hAnsi="Symbol"/>
          <w:i/>
          <w:lang w:bidi="bn-IN"/>
        </w:rPr>
        <w:t></w:t>
      </w:r>
      <w:r w:rsidRPr="00FE5BFC">
        <w:rPr>
          <w:i/>
          <w:iCs/>
          <w:lang w:bidi="bn-IN"/>
        </w:rPr>
        <w:t>T</w:t>
      </w:r>
      <w:r w:rsidRPr="00FE5BFC">
        <w:rPr>
          <w:i/>
          <w:iCs/>
          <w:vertAlign w:val="subscript"/>
          <w:lang w:bidi="bn-IN"/>
        </w:rPr>
        <w:t xml:space="preserve">IB,V2X </w:t>
      </w:r>
      <w:r w:rsidRPr="00FE5BFC">
        <w:rPr>
          <w:i/>
          <w:iCs/>
          <w:lang w:bidi="bn-IN"/>
        </w:rPr>
        <w:t xml:space="preserve">of </w:t>
      </w:r>
      <w:r w:rsidRPr="00FE5BFC">
        <w:rPr>
          <w:i/>
        </w:rPr>
        <w:t>P</w:t>
      </w:r>
      <w:r w:rsidRPr="00FE5BFC">
        <w:rPr>
          <w:i/>
          <w:vertAlign w:val="subscript"/>
        </w:rPr>
        <w:t>CMAX,c,Uu</w:t>
      </w:r>
      <w:r w:rsidRPr="00FE5BFC">
        <w:rPr>
          <w:i/>
        </w:rPr>
        <w:t xml:space="preserve"> is specified in Table 6.2E.4.2-1.</w:t>
      </w:r>
    </w:p>
    <w:p w:rsidR="00352627" w:rsidRPr="00352627" w:rsidRDefault="00352627" w:rsidP="00167A00">
      <w:pPr>
        <w:rPr>
          <w:b/>
          <w:lang w:eastAsia="zh-CN"/>
        </w:rPr>
      </w:pPr>
      <w:r w:rsidRPr="00352627">
        <w:rPr>
          <w:b/>
          <w:lang w:eastAsia="zh-CN"/>
        </w:rPr>
        <w:t xml:space="preserve">Observation 3: Inter-band concurrent operation configured </w:t>
      </w:r>
      <w:r>
        <w:rPr>
          <w:b/>
          <w:lang w:eastAsia="zh-CN"/>
        </w:rPr>
        <w:t xml:space="preserve">output </w:t>
      </w:r>
      <w:r w:rsidRPr="00352627">
        <w:rPr>
          <w:b/>
          <w:lang w:eastAsia="zh-CN"/>
        </w:rPr>
        <w:t>power scheme can be used as starting point for intra-band concurrent operation configured output power.</w:t>
      </w:r>
    </w:p>
    <w:p w:rsidR="0023738E" w:rsidRDefault="0023738E" w:rsidP="00852C23">
      <w:pPr>
        <w:rPr>
          <w:lang w:eastAsia="zh-CN"/>
        </w:rPr>
      </w:pPr>
      <w:r>
        <w:rPr>
          <w:lang w:eastAsia="zh-CN"/>
        </w:rPr>
        <w:lastRenderedPageBreak/>
        <w:t>Naturally, the inter-band concurrent operation is using different carrier. Hence for intra-band concurrent operation, different carrier scenario including both adjacent and non-adjacent carrier scenario can reuse current inter-band concurrent operation configured power scheme. Differently, currently it has been agreed that for adjacent carrier, synchronous operation is agreed while for non-adjacent carrier, it hasn’t been decided yet that whether un-synchronous operation can be supported.</w:t>
      </w:r>
    </w:p>
    <w:p w:rsidR="0023738E" w:rsidRPr="0023738E" w:rsidRDefault="0023738E" w:rsidP="00852C23">
      <w:pPr>
        <w:rPr>
          <w:b/>
          <w:lang w:eastAsia="zh-CN"/>
        </w:rPr>
      </w:pPr>
      <w:r w:rsidRPr="0023738E">
        <w:rPr>
          <w:b/>
          <w:lang w:eastAsia="zh-CN"/>
        </w:rPr>
        <w:t xml:space="preserve">Proposal 1: For </w:t>
      </w:r>
      <w:r>
        <w:rPr>
          <w:b/>
          <w:lang w:eastAsia="zh-CN"/>
        </w:rPr>
        <w:t xml:space="preserve">intra-band concurrent </w:t>
      </w:r>
      <w:r w:rsidRPr="0023738E">
        <w:rPr>
          <w:b/>
          <w:lang w:eastAsia="zh-CN"/>
        </w:rPr>
        <w:t xml:space="preserve">FDM operation, reuse </w:t>
      </w:r>
      <w:r>
        <w:rPr>
          <w:b/>
          <w:lang w:eastAsia="zh-CN"/>
        </w:rPr>
        <w:t>the inter-band concurrent operation configured power scheme.</w:t>
      </w:r>
    </w:p>
    <w:p w:rsidR="0023738E" w:rsidRDefault="0023738E" w:rsidP="00852C23">
      <w:pPr>
        <w:rPr>
          <w:lang w:eastAsia="zh-CN"/>
        </w:rPr>
      </w:pPr>
      <w:r>
        <w:rPr>
          <w:rFonts w:hint="eastAsia"/>
          <w:lang w:eastAsia="zh-CN"/>
        </w:rPr>
        <w:t>F</w:t>
      </w:r>
      <w:r>
        <w:rPr>
          <w:lang w:eastAsia="zh-CN"/>
        </w:rPr>
        <w:t>or TDM operation, the configured power for Uu interface and PC5 interface apply respectively for the slots that the carrier is configured for corresponding NR and NR SL services.</w:t>
      </w:r>
    </w:p>
    <w:p w:rsidR="00852C23" w:rsidRDefault="0023738E" w:rsidP="00852C23">
      <w:pPr>
        <w:rPr>
          <w:b/>
          <w:lang w:eastAsia="zh-CN"/>
        </w:rPr>
      </w:pPr>
      <w:r w:rsidRPr="0023738E">
        <w:rPr>
          <w:rFonts w:hint="eastAsia"/>
          <w:b/>
          <w:lang w:eastAsia="zh-CN"/>
        </w:rPr>
        <w:t>P</w:t>
      </w:r>
      <w:r w:rsidRPr="0023738E">
        <w:rPr>
          <w:b/>
          <w:lang w:eastAsia="zh-CN"/>
        </w:rPr>
        <w:t>roposal 2: For intra-band concurrent TDM operation, the configured power of</w:t>
      </w:r>
      <w:r w:rsidR="00E578B9">
        <w:rPr>
          <w:b/>
          <w:lang w:eastAsia="zh-CN"/>
        </w:rPr>
        <w:t xml:space="preserve"> NR apply for Uu interface while the configure power of NR SL apply for PC5 interface.</w:t>
      </w:r>
    </w:p>
    <w:p w:rsidR="00E578B9" w:rsidRDefault="00E578B9" w:rsidP="00852C23">
      <w:pPr>
        <w:rPr>
          <w:lang w:eastAsia="zh-CN"/>
        </w:rPr>
      </w:pPr>
      <w:r>
        <w:rPr>
          <w:lang w:eastAsia="zh-CN"/>
        </w:rPr>
        <w:t>With the above discussion and proposals, current sub-clause in TS 38.101-1 can stay unchanged with the latest version and the description of the serving cell should also be kept. While for the intra-band concurrent operation, corresponding changes should be added to TS 38.101-3 sub-clause 6.2E.4.1 with proposal 1 and proposal 2 stated above.</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D42672">
        <w:rPr>
          <w:lang w:val="en-US" w:eastAsia="zh-CN"/>
        </w:rPr>
        <w:t xml:space="preserve"> </w:t>
      </w:r>
      <w:r w:rsidR="00E578B9">
        <w:rPr>
          <w:lang w:val="en-US" w:eastAsia="zh-CN"/>
        </w:rPr>
        <w:t>PEMAX</w:t>
      </w:r>
      <w:r w:rsidR="00323263">
        <w:rPr>
          <w:lang w:val="en-US" w:eastAsia="zh-CN"/>
        </w:rPr>
        <w:t xml:space="preserve"> and the observations are shown as below</w:t>
      </w:r>
      <w:r w:rsidR="00323263">
        <w:rPr>
          <w:rFonts w:hint="eastAsia"/>
          <w:lang w:val="en-US" w:eastAsia="zh-CN"/>
        </w:rPr>
        <w:t>：</w:t>
      </w:r>
    </w:p>
    <w:p w:rsidR="00E578B9" w:rsidRDefault="00E578B9" w:rsidP="00E578B9">
      <w:pPr>
        <w:rPr>
          <w:b/>
          <w:lang w:eastAsia="zh-CN"/>
        </w:rPr>
      </w:pPr>
      <w:r w:rsidRPr="00D91C96">
        <w:rPr>
          <w:b/>
          <w:lang w:eastAsia="zh-CN"/>
        </w:rPr>
        <w:t xml:space="preserve">Observation 1: Using </w:t>
      </w:r>
      <w:r w:rsidRPr="00D91C96">
        <w:rPr>
          <w:b/>
          <w:i/>
          <w:lang w:eastAsia="zh-CN"/>
        </w:rPr>
        <w:t>sl-maxTxPower</w:t>
      </w:r>
      <w:r w:rsidRPr="00D91C96">
        <w:rPr>
          <w:b/>
          <w:lang w:eastAsia="zh-CN"/>
        </w:rPr>
        <w:t xml:space="preserve"> instead of </w:t>
      </w:r>
      <w:r w:rsidRPr="00D91C96">
        <w:rPr>
          <w:b/>
          <w:i/>
          <w:lang w:eastAsia="zh-CN"/>
        </w:rPr>
        <w:t xml:space="preserve">maxTxPower </w:t>
      </w:r>
      <w:r w:rsidRPr="00D91C96">
        <w:rPr>
          <w:b/>
          <w:lang w:eastAsia="zh-CN"/>
        </w:rPr>
        <w:t>is acceptable for sidelink only operation.</w:t>
      </w:r>
    </w:p>
    <w:p w:rsidR="00E578B9" w:rsidRDefault="00E578B9" w:rsidP="00E578B9">
      <w:pPr>
        <w:rPr>
          <w:b/>
          <w:lang w:eastAsia="zh-CN"/>
        </w:rPr>
      </w:pPr>
      <w:r w:rsidRPr="007C6247">
        <w:rPr>
          <w:b/>
          <w:lang w:eastAsia="zh-CN"/>
        </w:rPr>
        <w:t xml:space="preserve">Observation 2: Only using </w:t>
      </w:r>
      <w:r w:rsidRPr="007C6247">
        <w:rPr>
          <w:b/>
          <w:i/>
          <w:lang w:eastAsia="zh-CN"/>
        </w:rPr>
        <w:t xml:space="preserve">sl-maxTxPower </w:t>
      </w:r>
      <w:r w:rsidRPr="007C6247">
        <w:rPr>
          <w:b/>
          <w:lang w:eastAsia="zh-CN"/>
        </w:rPr>
        <w:t>or</w:t>
      </w:r>
      <w:r w:rsidRPr="007C6247">
        <w:rPr>
          <w:b/>
          <w:i/>
          <w:lang w:eastAsia="zh-CN"/>
        </w:rPr>
        <w:t xml:space="preserve"> maxTxPower </w:t>
      </w:r>
      <w:r w:rsidRPr="007C6247">
        <w:rPr>
          <w:b/>
          <w:lang w:eastAsia="zh-CN"/>
        </w:rPr>
        <w:t>will cause problem for intra-band concurrent operation.</w:t>
      </w:r>
    </w:p>
    <w:p w:rsidR="00E578B9" w:rsidRPr="00352627" w:rsidRDefault="00E578B9" w:rsidP="00E578B9">
      <w:pPr>
        <w:rPr>
          <w:b/>
          <w:lang w:eastAsia="zh-CN"/>
        </w:rPr>
      </w:pPr>
      <w:r w:rsidRPr="00352627">
        <w:rPr>
          <w:b/>
          <w:lang w:eastAsia="zh-CN"/>
        </w:rPr>
        <w:t xml:space="preserve">Observation 3: Inter-band concurrent operation configured </w:t>
      </w:r>
      <w:r>
        <w:rPr>
          <w:b/>
          <w:lang w:eastAsia="zh-CN"/>
        </w:rPr>
        <w:t xml:space="preserve">output </w:t>
      </w:r>
      <w:r w:rsidRPr="00352627">
        <w:rPr>
          <w:b/>
          <w:lang w:eastAsia="zh-CN"/>
        </w:rPr>
        <w:t>power scheme can be used as starting point for intra-band concurrent operation configured output power.</w:t>
      </w:r>
    </w:p>
    <w:p w:rsidR="00E578B9" w:rsidRPr="0023738E" w:rsidRDefault="00E578B9" w:rsidP="00E578B9">
      <w:pPr>
        <w:rPr>
          <w:b/>
          <w:lang w:eastAsia="zh-CN"/>
        </w:rPr>
      </w:pPr>
      <w:r w:rsidRPr="0023738E">
        <w:rPr>
          <w:b/>
          <w:lang w:eastAsia="zh-CN"/>
        </w:rPr>
        <w:t xml:space="preserve">Proposal 1: For </w:t>
      </w:r>
      <w:r>
        <w:rPr>
          <w:b/>
          <w:lang w:eastAsia="zh-CN"/>
        </w:rPr>
        <w:t xml:space="preserve">intra-band concurrent </w:t>
      </w:r>
      <w:r w:rsidRPr="0023738E">
        <w:rPr>
          <w:b/>
          <w:lang w:eastAsia="zh-CN"/>
        </w:rPr>
        <w:t xml:space="preserve">FDM operation, reuse </w:t>
      </w:r>
      <w:r>
        <w:rPr>
          <w:b/>
          <w:lang w:eastAsia="zh-CN"/>
        </w:rPr>
        <w:t>the inter-band concurrent operation configured power scheme.</w:t>
      </w:r>
    </w:p>
    <w:p w:rsidR="00E578B9" w:rsidRPr="00E578B9" w:rsidRDefault="00E578B9" w:rsidP="00E578B9">
      <w:pPr>
        <w:rPr>
          <w:b/>
          <w:lang w:eastAsia="zh-CN"/>
        </w:rPr>
      </w:pPr>
      <w:r w:rsidRPr="0023738E">
        <w:rPr>
          <w:rFonts w:hint="eastAsia"/>
          <w:b/>
          <w:lang w:eastAsia="zh-CN"/>
        </w:rPr>
        <w:t>P</w:t>
      </w:r>
      <w:r w:rsidRPr="0023738E">
        <w:rPr>
          <w:b/>
          <w:lang w:eastAsia="zh-CN"/>
        </w:rPr>
        <w:t>roposal 2: For intra-band concurrent TDM operation, the configured power of</w:t>
      </w:r>
      <w:r>
        <w:rPr>
          <w:b/>
          <w:lang w:eastAsia="zh-CN"/>
        </w:rPr>
        <w:t xml:space="preserve"> NR apply for Uu interface while the configure power of NR SL apply for PC5 interface.</w:t>
      </w:r>
    </w:p>
    <w:p w:rsidR="00DB2AC9" w:rsidRPr="000A4C5A" w:rsidRDefault="00DB2AC9" w:rsidP="00DB2AC9">
      <w:pPr>
        <w:pStyle w:val="1"/>
      </w:pPr>
      <w:r w:rsidRPr="000A4C5A">
        <w:rPr>
          <w:rFonts w:hint="eastAsia"/>
        </w:rPr>
        <w:t>Reference</w:t>
      </w:r>
    </w:p>
    <w:bookmarkEnd w:id="2"/>
    <w:p w:rsidR="001F4672" w:rsidRDefault="008E50A8" w:rsidP="008E50A8">
      <w:pPr>
        <w:numPr>
          <w:ilvl w:val="0"/>
          <w:numId w:val="2"/>
        </w:numPr>
        <w:rPr>
          <w:lang w:val="en-US" w:eastAsia="zh-CN"/>
        </w:rPr>
      </w:pPr>
      <w:r w:rsidRPr="008E50A8">
        <w:rPr>
          <w:lang w:eastAsia="zh-CN"/>
        </w:rPr>
        <w:t>R4-2107872</w:t>
      </w:r>
      <w:r w:rsidRPr="008E50A8">
        <w:rPr>
          <w:lang w:eastAsia="zh-CN"/>
        </w:rPr>
        <w:tab/>
        <w:t>WF on PC2 NR V2X</w:t>
      </w:r>
      <w:r>
        <w:rPr>
          <w:lang w:val="en-US" w:eastAsia="zh-CN"/>
        </w:rPr>
        <w:t xml:space="preserve">, </w:t>
      </w:r>
      <w:r w:rsidRPr="00EC6E99">
        <w:rPr>
          <w:lang w:val="en-US" w:eastAsia="zh-CN"/>
        </w:rPr>
        <w:t>Huawei, HiSilicon</w:t>
      </w:r>
    </w:p>
    <w:p w:rsidR="00817FDB" w:rsidRDefault="00817FDB" w:rsidP="00817FDB">
      <w:pPr>
        <w:numPr>
          <w:ilvl w:val="0"/>
          <w:numId w:val="2"/>
        </w:numPr>
        <w:rPr>
          <w:lang w:val="en-US" w:eastAsia="zh-CN"/>
        </w:rPr>
      </w:pPr>
      <w:r w:rsidRPr="00817FDB">
        <w:rPr>
          <w:lang w:val="en-US" w:eastAsia="zh-CN"/>
        </w:rPr>
        <w:t>R4-2110022</w:t>
      </w:r>
      <w:r>
        <w:rPr>
          <w:lang w:val="en-US" w:eastAsia="zh-CN"/>
        </w:rPr>
        <w:tab/>
      </w:r>
      <w:r w:rsidRPr="00817FDB">
        <w:rPr>
          <w:lang w:val="en-US" w:eastAsia="zh-CN"/>
        </w:rPr>
        <w:t>f</w:t>
      </w:r>
      <w:r>
        <w:rPr>
          <w:lang w:val="en-US" w:eastAsia="zh-CN"/>
        </w:rPr>
        <w:t>urther discussion on HPUE signa</w:t>
      </w:r>
      <w:r w:rsidRPr="00817FDB">
        <w:rPr>
          <w:lang w:val="en-US" w:eastAsia="zh-CN"/>
        </w:rPr>
        <w:t>ling issue</w:t>
      </w:r>
      <w:r>
        <w:rPr>
          <w:lang w:val="en-US" w:eastAsia="zh-CN"/>
        </w:rPr>
        <w:t>, Xiaomi</w:t>
      </w:r>
    </w:p>
    <w:p w:rsidR="0002037D" w:rsidRPr="008E50A8" w:rsidRDefault="0002037D" w:rsidP="0002037D">
      <w:pPr>
        <w:numPr>
          <w:ilvl w:val="0"/>
          <w:numId w:val="2"/>
        </w:numPr>
        <w:rPr>
          <w:lang w:val="en-US" w:eastAsia="zh-CN"/>
        </w:rPr>
      </w:pPr>
      <w:r w:rsidRPr="0002037D">
        <w:rPr>
          <w:lang w:val="en-US" w:eastAsia="zh-CN"/>
        </w:rPr>
        <w:t>R4-2103360</w:t>
      </w:r>
      <w:r>
        <w:rPr>
          <w:lang w:val="en-US" w:eastAsia="zh-CN"/>
        </w:rPr>
        <w:tab/>
      </w:r>
      <w:r w:rsidRPr="0002037D">
        <w:rPr>
          <w:lang w:val="en-US" w:eastAsia="zh-CN"/>
        </w:rPr>
        <w:t>LS on Signalling scheme of Transparent TxD</w:t>
      </w:r>
      <w:r>
        <w:rPr>
          <w:lang w:val="en-US" w:eastAsia="zh-CN"/>
        </w:rPr>
        <w:t>, VIVO</w:t>
      </w:r>
    </w:p>
    <w:sectPr w:rsidR="0002037D" w:rsidRPr="008E50A8" w:rsidSect="005F50FE">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2D7" w:rsidRDefault="00B112D7" w:rsidP="00DB2AC9">
      <w:pPr>
        <w:spacing w:after="0"/>
      </w:pPr>
      <w:r>
        <w:separator/>
      </w:r>
    </w:p>
  </w:endnote>
  <w:endnote w:type="continuationSeparator" w:id="0">
    <w:p w:rsidR="00B112D7" w:rsidRDefault="00B112D7"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2D7" w:rsidRDefault="00B112D7" w:rsidP="00DB2AC9">
      <w:pPr>
        <w:spacing w:after="0"/>
      </w:pPr>
      <w:r>
        <w:separator/>
      </w:r>
    </w:p>
  </w:footnote>
  <w:footnote w:type="continuationSeparator" w:id="0">
    <w:p w:rsidR="00B112D7" w:rsidRDefault="00B112D7"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048C2"/>
    <w:rsid w:val="0001330C"/>
    <w:rsid w:val="0002037D"/>
    <w:rsid w:val="0003136E"/>
    <w:rsid w:val="00076FAA"/>
    <w:rsid w:val="00081ABB"/>
    <w:rsid w:val="000A07AA"/>
    <w:rsid w:val="0011094C"/>
    <w:rsid w:val="00115B38"/>
    <w:rsid w:val="00132013"/>
    <w:rsid w:val="00153FF0"/>
    <w:rsid w:val="00167A00"/>
    <w:rsid w:val="0019167E"/>
    <w:rsid w:val="001B19C6"/>
    <w:rsid w:val="001E0BF5"/>
    <w:rsid w:val="001F4672"/>
    <w:rsid w:val="002366F5"/>
    <w:rsid w:val="0023738E"/>
    <w:rsid w:val="00260C91"/>
    <w:rsid w:val="00263744"/>
    <w:rsid w:val="00271175"/>
    <w:rsid w:val="00284B35"/>
    <w:rsid w:val="002A553E"/>
    <w:rsid w:val="002C2022"/>
    <w:rsid w:val="002D2F74"/>
    <w:rsid w:val="00315710"/>
    <w:rsid w:val="00323263"/>
    <w:rsid w:val="00345A95"/>
    <w:rsid w:val="00352627"/>
    <w:rsid w:val="003824FC"/>
    <w:rsid w:val="00401396"/>
    <w:rsid w:val="00477BCE"/>
    <w:rsid w:val="00480F2E"/>
    <w:rsid w:val="004C1C43"/>
    <w:rsid w:val="005129A9"/>
    <w:rsid w:val="00517EAB"/>
    <w:rsid w:val="0052288E"/>
    <w:rsid w:val="00546130"/>
    <w:rsid w:val="005662AB"/>
    <w:rsid w:val="00594B57"/>
    <w:rsid w:val="005A03A7"/>
    <w:rsid w:val="005B1762"/>
    <w:rsid w:val="005C016E"/>
    <w:rsid w:val="005C0BD4"/>
    <w:rsid w:val="005C73C6"/>
    <w:rsid w:val="005F2C0E"/>
    <w:rsid w:val="005F50FE"/>
    <w:rsid w:val="00605AC6"/>
    <w:rsid w:val="0062790E"/>
    <w:rsid w:val="006318F5"/>
    <w:rsid w:val="00641E42"/>
    <w:rsid w:val="006474F1"/>
    <w:rsid w:val="00692D6B"/>
    <w:rsid w:val="00773B7D"/>
    <w:rsid w:val="0079014C"/>
    <w:rsid w:val="007A4AC6"/>
    <w:rsid w:val="007C5E0B"/>
    <w:rsid w:val="007C6247"/>
    <w:rsid w:val="007E196B"/>
    <w:rsid w:val="007F2979"/>
    <w:rsid w:val="007F54FC"/>
    <w:rsid w:val="008006DE"/>
    <w:rsid w:val="00803B0C"/>
    <w:rsid w:val="00805BF5"/>
    <w:rsid w:val="00807317"/>
    <w:rsid w:val="00817FDB"/>
    <w:rsid w:val="00852C23"/>
    <w:rsid w:val="008578DE"/>
    <w:rsid w:val="00871B03"/>
    <w:rsid w:val="00883D5A"/>
    <w:rsid w:val="008903ED"/>
    <w:rsid w:val="0089480E"/>
    <w:rsid w:val="008D0CAC"/>
    <w:rsid w:val="008E4D23"/>
    <w:rsid w:val="008E50A8"/>
    <w:rsid w:val="00916532"/>
    <w:rsid w:val="00951CF8"/>
    <w:rsid w:val="00984A1B"/>
    <w:rsid w:val="00992D9C"/>
    <w:rsid w:val="009A2700"/>
    <w:rsid w:val="009B75C0"/>
    <w:rsid w:val="00A04E47"/>
    <w:rsid w:val="00A10E75"/>
    <w:rsid w:val="00A24FEA"/>
    <w:rsid w:val="00A3401F"/>
    <w:rsid w:val="00A46759"/>
    <w:rsid w:val="00A652AE"/>
    <w:rsid w:val="00A658BE"/>
    <w:rsid w:val="00A84FCD"/>
    <w:rsid w:val="00AC0B92"/>
    <w:rsid w:val="00B03CB3"/>
    <w:rsid w:val="00B112D7"/>
    <w:rsid w:val="00B454C2"/>
    <w:rsid w:val="00B5385D"/>
    <w:rsid w:val="00B87165"/>
    <w:rsid w:val="00B95EA3"/>
    <w:rsid w:val="00BA648E"/>
    <w:rsid w:val="00BB408C"/>
    <w:rsid w:val="00BE2F01"/>
    <w:rsid w:val="00C3221C"/>
    <w:rsid w:val="00C37E83"/>
    <w:rsid w:val="00C42119"/>
    <w:rsid w:val="00C7497C"/>
    <w:rsid w:val="00C75255"/>
    <w:rsid w:val="00C83690"/>
    <w:rsid w:val="00CA289C"/>
    <w:rsid w:val="00CA61A8"/>
    <w:rsid w:val="00CA6327"/>
    <w:rsid w:val="00CA75C2"/>
    <w:rsid w:val="00CB6C89"/>
    <w:rsid w:val="00CE6AC7"/>
    <w:rsid w:val="00CF3C50"/>
    <w:rsid w:val="00D03608"/>
    <w:rsid w:val="00D15177"/>
    <w:rsid w:val="00D17695"/>
    <w:rsid w:val="00D30509"/>
    <w:rsid w:val="00D33F9A"/>
    <w:rsid w:val="00D42672"/>
    <w:rsid w:val="00D607D4"/>
    <w:rsid w:val="00D91C96"/>
    <w:rsid w:val="00D938AB"/>
    <w:rsid w:val="00DB1B79"/>
    <w:rsid w:val="00DB2AC9"/>
    <w:rsid w:val="00DC4203"/>
    <w:rsid w:val="00DD4592"/>
    <w:rsid w:val="00E02E23"/>
    <w:rsid w:val="00E47A6C"/>
    <w:rsid w:val="00E54E8F"/>
    <w:rsid w:val="00E578B9"/>
    <w:rsid w:val="00E9533D"/>
    <w:rsid w:val="00EA01BC"/>
    <w:rsid w:val="00EB6689"/>
    <w:rsid w:val="00EC6E99"/>
    <w:rsid w:val="00ED2336"/>
    <w:rsid w:val="00EE1E6A"/>
    <w:rsid w:val="00EF408F"/>
    <w:rsid w:val="00EF4F82"/>
    <w:rsid w:val="00F00E31"/>
    <w:rsid w:val="00F06550"/>
    <w:rsid w:val="00F06A32"/>
    <w:rsid w:val="00F51CE6"/>
    <w:rsid w:val="00F93B56"/>
    <w:rsid w:val="00FA6A5D"/>
    <w:rsid w:val="00FE3C27"/>
    <w:rsid w:val="00FE5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D37C9"/>
  <w15:chartTrackingRefBased/>
  <w15:docId w15:val="{6325047F-9FAD-41AC-A15B-4AE51DFA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9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customStyle="1" w:styleId="22">
    <w:name w:val="标题2"/>
    <w:basedOn w:val="a1"/>
    <w:rsid w:val="00817FDB"/>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305819981">
          <w:marLeft w:val="547"/>
          <w:marRight w:val="0"/>
          <w:marTop w:val="96"/>
          <w:marBottom w:val="0"/>
          <w:divBdr>
            <w:top w:val="none" w:sz="0" w:space="0" w:color="auto"/>
            <w:left w:val="none" w:sz="0" w:space="0" w:color="auto"/>
            <w:bottom w:val="none" w:sz="0" w:space="0" w:color="auto"/>
            <w:right w:val="none" w:sz="0" w:space="0" w:color="auto"/>
          </w:divBdr>
        </w:div>
        <w:div w:id="598683091">
          <w:marLeft w:val="547"/>
          <w:marRight w:val="0"/>
          <w:marTop w:val="96"/>
          <w:marBottom w:val="0"/>
          <w:divBdr>
            <w:top w:val="none" w:sz="0" w:space="0" w:color="auto"/>
            <w:left w:val="none" w:sz="0" w:space="0" w:color="auto"/>
            <w:bottom w:val="none" w:sz="0" w:space="0" w:color="auto"/>
            <w:right w:val="none" w:sz="0" w:space="0" w:color="auto"/>
          </w:divBdr>
        </w:div>
      </w:divsChild>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432361990">
          <w:marLeft w:val="605"/>
          <w:marRight w:val="0"/>
          <w:marTop w:val="40"/>
          <w:marBottom w:val="80"/>
          <w:divBdr>
            <w:top w:val="none" w:sz="0" w:space="0" w:color="auto"/>
            <w:left w:val="none" w:sz="0" w:space="0" w:color="auto"/>
            <w:bottom w:val="none" w:sz="0" w:space="0" w:color="auto"/>
            <w:right w:val="none" w:sz="0" w:space="0" w:color="auto"/>
          </w:divBdr>
        </w:div>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AED3-6948-4119-B477-C5918EF9A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2</Pages>
  <Words>730</Words>
  <Characters>4164</Characters>
  <Application>Microsoft Office Word</Application>
  <DocSecurity>0</DocSecurity>
  <Lines>34</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10</cp:revision>
  <dcterms:created xsi:type="dcterms:W3CDTF">2021-05-09T02:33:00Z</dcterms:created>
  <dcterms:modified xsi:type="dcterms:W3CDTF">2021-08-06T06:01:00Z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